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76063" w14:textId="77777777" w:rsidR="00BC67D2" w:rsidRPr="00F64915" w:rsidRDefault="00ED4272" w:rsidP="00BC67D2">
      <w:pPr>
        <w:spacing w:before="100" w:beforeAutospacing="1" w:after="100" w:afterAutospacing="1" w:line="240" w:lineRule="auto"/>
        <w:jc w:val="center"/>
        <w:rPr>
          <w:rFonts w:ascii="Calibri" w:eastAsia="Times New Roman" w:hAnsi="Calibri" w:cs="Times New Roman"/>
          <w:lang w:val="es-CR" w:eastAsia="en-GB"/>
        </w:rPr>
      </w:pPr>
      <w:r w:rsidRPr="00F64915">
        <w:rPr>
          <w:noProof/>
          <w:lang w:val="es-CR"/>
        </w:rPr>
        <w:t xml:space="preserve"> </w:t>
      </w:r>
      <w:r w:rsidRPr="00886421">
        <w:rPr>
          <w:rFonts w:ascii="Calibri" w:eastAsia="Times New Roman" w:hAnsi="Calibri" w:cs="Times New Roman"/>
          <w:noProof/>
          <w:lang w:val="en-US" w:eastAsia="en-GB"/>
        </w:rPr>
        <w:drawing>
          <wp:inline distT="0" distB="0" distL="0" distR="0" wp14:anchorId="5EF8B76D" wp14:editId="06A1AFAF">
            <wp:extent cx="1276350" cy="140445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629631" name=""/>
                    <pic:cNvPicPr/>
                  </pic:nvPicPr>
                  <pic:blipFill>
                    <a:blip r:embed="rId8"/>
                    <a:stretch>
                      <a:fillRect/>
                    </a:stretch>
                  </pic:blipFill>
                  <pic:spPr>
                    <a:xfrm>
                      <a:off x="0" y="0"/>
                      <a:ext cx="1286843" cy="1416005"/>
                    </a:xfrm>
                    <a:prstGeom prst="rect">
                      <a:avLst/>
                    </a:prstGeom>
                  </pic:spPr>
                </pic:pic>
              </a:graphicData>
            </a:graphic>
          </wp:inline>
        </w:drawing>
      </w:r>
    </w:p>
    <w:p w14:paraId="05298B63" w14:textId="77777777" w:rsidR="00422C25" w:rsidRPr="00F64915" w:rsidRDefault="00ED4272" w:rsidP="00422C25">
      <w:pPr>
        <w:pStyle w:val="CommentText"/>
        <w:spacing w:after="0"/>
        <w:jc w:val="center"/>
        <w:rPr>
          <w:rFonts w:ascii="Calibri" w:hAnsi="Calibri"/>
          <w:b/>
          <w:bCs/>
          <w:sz w:val="28"/>
          <w:szCs w:val="28"/>
          <w:lang w:val="es-CR"/>
        </w:rPr>
      </w:pPr>
      <w:r>
        <w:rPr>
          <w:rFonts w:ascii="Calibri" w:eastAsia="Calibri" w:hAnsi="Calibri" w:cs="Mangal"/>
          <w:b/>
          <w:bCs/>
          <w:sz w:val="28"/>
          <w:szCs w:val="28"/>
          <w:lang w:val="es-MX"/>
        </w:rPr>
        <w:t>GanedenBC</w:t>
      </w:r>
      <w:r>
        <w:rPr>
          <w:rFonts w:ascii="Calibri" w:eastAsia="Calibri" w:hAnsi="Calibri" w:cs="Mangal"/>
          <w:b/>
          <w:bCs/>
          <w:sz w:val="28"/>
          <w:szCs w:val="28"/>
          <w:vertAlign w:val="superscript"/>
          <w:lang w:val="es-MX"/>
        </w:rPr>
        <w:t>30®</w:t>
      </w:r>
      <w:r>
        <w:rPr>
          <w:rFonts w:ascii="Calibri" w:eastAsia="Calibri" w:hAnsi="Calibri" w:cs="Mangal"/>
          <w:b/>
          <w:bCs/>
          <w:sz w:val="28"/>
          <w:szCs w:val="28"/>
          <w:lang w:val="es-MX"/>
        </w:rPr>
        <w:t xml:space="preserve">: La aprobación en Brasil crea nuevas </w:t>
      </w:r>
    </w:p>
    <w:p w14:paraId="25D50B24" w14:textId="77777777" w:rsidR="004C6BE7" w:rsidRPr="00F64915" w:rsidRDefault="00ED4272" w:rsidP="00422C25">
      <w:pPr>
        <w:pStyle w:val="CommentText"/>
        <w:spacing w:after="0"/>
        <w:jc w:val="center"/>
        <w:rPr>
          <w:rFonts w:ascii="Calibri" w:hAnsi="Calibri"/>
          <w:b/>
          <w:bCs/>
          <w:sz w:val="28"/>
          <w:szCs w:val="28"/>
          <w:lang w:val="es-CR"/>
        </w:rPr>
      </w:pPr>
      <w:r>
        <w:rPr>
          <w:rFonts w:ascii="Calibri" w:eastAsia="Calibri" w:hAnsi="Calibri" w:cs="Mangal"/>
          <w:b/>
          <w:bCs/>
          <w:sz w:val="28"/>
          <w:szCs w:val="28"/>
          <w:lang w:val="es-MX"/>
        </w:rPr>
        <w:t>oportunidades en el mercado de probióticos</w:t>
      </w:r>
    </w:p>
    <w:p w14:paraId="79192410" w14:textId="77777777" w:rsidR="004C6BE7" w:rsidRPr="00F64915" w:rsidRDefault="004C6BE7" w:rsidP="004C6BE7">
      <w:pPr>
        <w:pStyle w:val="CommentText"/>
        <w:jc w:val="center"/>
        <w:rPr>
          <w:lang w:val="es-CR"/>
        </w:rPr>
      </w:pPr>
    </w:p>
    <w:p w14:paraId="54897EA9" w14:textId="77777777" w:rsidR="00DA72FF" w:rsidRPr="00F64915" w:rsidRDefault="00ED4272" w:rsidP="004C6BE7">
      <w:pPr>
        <w:spacing w:after="0" w:line="240" w:lineRule="auto"/>
        <w:rPr>
          <w:rFonts w:ascii="Calibri" w:hAnsi="Calibri"/>
          <w:b/>
          <w:bCs/>
          <w:lang w:val="es-CR"/>
        </w:rPr>
      </w:pPr>
      <w:r>
        <w:rPr>
          <w:rFonts w:ascii="Calibri" w:eastAsia="Calibri" w:hAnsi="Calibri" w:cs="Mangal"/>
          <w:b/>
          <w:bCs/>
          <w:lang w:val="es-MX"/>
        </w:rPr>
        <w:t xml:space="preserve">Beloit, WI – </w:t>
      </w:r>
      <w:r w:rsidR="004B123B">
        <w:rPr>
          <w:rFonts w:ascii="Calibri" w:eastAsia="Calibri" w:hAnsi="Calibri" w:cs="Mangal"/>
          <w:b/>
          <w:bCs/>
          <w:lang w:val="es-MX"/>
        </w:rPr>
        <w:t>11 Noviembre 2020</w:t>
      </w:r>
    </w:p>
    <w:p w14:paraId="39CCF52F" w14:textId="77777777" w:rsidR="00BE5E7C" w:rsidRPr="00F64915" w:rsidRDefault="00F64915" w:rsidP="00041E2F">
      <w:pPr>
        <w:spacing w:before="100" w:beforeAutospacing="1" w:after="100" w:afterAutospacing="1" w:line="240" w:lineRule="auto"/>
        <w:rPr>
          <w:rFonts w:ascii="Calibri" w:hAnsi="Calibri"/>
          <w:lang w:val="es-CR"/>
        </w:rPr>
      </w:pPr>
      <w:r>
        <w:rPr>
          <w:rFonts w:ascii="Calibri" w:eastAsia="Calibri" w:hAnsi="Calibri" w:cs="Mangal"/>
          <w:lang w:val="es-MX"/>
        </w:rPr>
        <w:t>La Agencia Nacional de Vigilancia Sanitaria (ANVISA) aprobó en Brasil</w:t>
      </w:r>
      <w:r w:rsidR="00ED4272">
        <w:rPr>
          <w:rFonts w:ascii="Calibri" w:eastAsia="Calibri" w:hAnsi="Calibri" w:cs="Mangal"/>
          <w:lang w:val="es-MX"/>
        </w:rPr>
        <w:t xml:space="preserve"> una declaración de salud para el probiótico líder Ganeden</w:t>
      </w:r>
      <w:r w:rsidR="00ED4272">
        <w:rPr>
          <w:rFonts w:ascii="Calibri" w:eastAsia="Calibri" w:hAnsi="Calibri" w:cs="Mangal"/>
          <w:b/>
          <w:bCs/>
          <w:lang w:val="es-MX"/>
        </w:rPr>
        <w:t>BC</w:t>
      </w:r>
      <w:r w:rsidR="00ED4272">
        <w:rPr>
          <w:rFonts w:ascii="Calibri" w:eastAsia="Calibri" w:hAnsi="Calibri" w:cs="Mangal"/>
          <w:b/>
          <w:bCs/>
          <w:vertAlign w:val="superscript"/>
          <w:lang w:val="es-MX"/>
        </w:rPr>
        <w:t>30</w:t>
      </w:r>
      <w:r w:rsidR="00ED4272">
        <w:rPr>
          <w:rFonts w:ascii="Calibri" w:eastAsia="Calibri" w:hAnsi="Calibri" w:cs="Mangal"/>
          <w:b/>
          <w:bCs/>
          <w:lang w:val="es-MX"/>
        </w:rPr>
        <w:t>®</w:t>
      </w:r>
      <w:r w:rsidR="00ED4272">
        <w:rPr>
          <w:rFonts w:ascii="Calibri" w:eastAsia="Calibri" w:hAnsi="Calibri" w:cs="Mangal"/>
          <w:lang w:val="es-MX"/>
        </w:rPr>
        <w:t>, creando nuevas oportunidades para satisfacer la creciente demanda de productos con beneficios para la salud digestiva.</w:t>
      </w:r>
    </w:p>
    <w:p w14:paraId="06E6D31C" w14:textId="77777777" w:rsidR="00F560CD" w:rsidRDefault="00ED4272" w:rsidP="00A8239B">
      <w:pPr>
        <w:spacing w:before="100" w:beforeAutospacing="1" w:after="100" w:afterAutospacing="1" w:line="240" w:lineRule="auto"/>
        <w:rPr>
          <w:rFonts w:ascii="Calibri" w:eastAsia="Calibri" w:hAnsi="Calibri" w:cs="Mangal"/>
          <w:lang w:val="es-MX"/>
        </w:rPr>
      </w:pPr>
      <w:r>
        <w:rPr>
          <w:rFonts w:ascii="Calibri" w:eastAsia="Calibri" w:hAnsi="Calibri" w:cs="Mangal"/>
          <w:lang w:val="es-MX"/>
        </w:rPr>
        <w:t>El mercado brasileño ofrece un potencial significativo a los fabricantes que fortifican alimentos y bebidas con probióticos. Por ejemplo, una encuesta realizada a 800 consumidores brasileños en 2019 reveló que la mitad (el 49 %) había utilizado, o se plantearía utilizar, productos con bacterias beneficiosas, como los probióticos, en los últimos seis meses.*</w:t>
      </w:r>
    </w:p>
    <w:p w14:paraId="603D9424" w14:textId="77777777" w:rsidR="00BE5E7C" w:rsidRPr="00F64915" w:rsidRDefault="00ED4272" w:rsidP="00BE5E7C">
      <w:pPr>
        <w:spacing w:before="100" w:beforeAutospacing="1" w:after="100" w:afterAutospacing="1" w:line="240" w:lineRule="auto"/>
        <w:rPr>
          <w:rFonts w:ascii="Calibri" w:hAnsi="Calibri"/>
          <w:lang w:val="es-CR"/>
        </w:rPr>
      </w:pPr>
      <w:r>
        <w:rPr>
          <w:rFonts w:ascii="Calibri" w:eastAsia="Calibri" w:hAnsi="Calibri" w:cs="Mangal"/>
          <w:lang w:val="es-MX"/>
        </w:rPr>
        <w:t>Ganeden</w:t>
      </w:r>
      <w:r>
        <w:rPr>
          <w:rFonts w:ascii="Calibri" w:eastAsia="Calibri" w:hAnsi="Calibri" w:cs="Mangal"/>
          <w:b/>
          <w:bCs/>
          <w:lang w:val="es-MX"/>
        </w:rPr>
        <w:t>BC</w:t>
      </w:r>
      <w:r>
        <w:rPr>
          <w:rFonts w:ascii="Calibri" w:eastAsia="Calibri" w:hAnsi="Calibri" w:cs="Mangal"/>
          <w:b/>
          <w:bCs/>
          <w:vertAlign w:val="superscript"/>
          <w:lang w:val="es-MX"/>
        </w:rPr>
        <w:t>30</w:t>
      </w:r>
      <w:r>
        <w:rPr>
          <w:rFonts w:ascii="Calibri" w:eastAsia="Calibri" w:hAnsi="Calibri" w:cs="Mangal"/>
          <w:lang w:val="es-MX"/>
        </w:rPr>
        <w:t xml:space="preserve"> (</w:t>
      </w:r>
      <w:r>
        <w:rPr>
          <w:rFonts w:ascii="Calibri" w:eastAsia="Calibri" w:hAnsi="Calibri" w:cs="Mangal"/>
          <w:i/>
          <w:iCs/>
          <w:lang w:val="es-MX"/>
        </w:rPr>
        <w:t>Bacillus coagulans</w:t>
      </w:r>
      <w:r>
        <w:rPr>
          <w:rFonts w:ascii="Calibri" w:eastAsia="Calibri" w:hAnsi="Calibri" w:cs="Mangal"/>
          <w:lang w:val="es-MX"/>
        </w:rPr>
        <w:t xml:space="preserve"> GBI-30, 6086) es un ingrediente probiótico formador de esporas respaldado por más de 25 publicaciones de artículos. Este sólido portafolio de investigación permitió a Kerry (los fabricantes de Ganeden</w:t>
      </w:r>
      <w:r>
        <w:rPr>
          <w:rFonts w:ascii="Calibri" w:eastAsia="Calibri" w:hAnsi="Calibri" w:cs="Mangal"/>
          <w:b/>
          <w:bCs/>
          <w:lang w:val="es-MX"/>
        </w:rPr>
        <w:t>BC</w:t>
      </w:r>
      <w:r>
        <w:rPr>
          <w:rFonts w:ascii="Calibri" w:eastAsia="Calibri" w:hAnsi="Calibri" w:cs="Mangal"/>
          <w:b/>
          <w:bCs/>
          <w:vertAlign w:val="superscript"/>
          <w:lang w:val="es-MX"/>
        </w:rPr>
        <w:t>30</w:t>
      </w:r>
      <w:r>
        <w:rPr>
          <w:rFonts w:ascii="Calibri" w:eastAsia="Calibri" w:hAnsi="Calibri" w:cs="Mangal"/>
          <w:lang w:val="es-MX"/>
        </w:rPr>
        <w:t>) presentar documentación de aprobación de afirmaciones a A</w:t>
      </w:r>
      <w:r w:rsidR="00F64915">
        <w:rPr>
          <w:rFonts w:ascii="Calibri" w:eastAsia="Calibri" w:hAnsi="Calibri" w:cs="Mangal"/>
          <w:lang w:val="es-MX"/>
        </w:rPr>
        <w:t>NVISA</w:t>
      </w:r>
      <w:r>
        <w:rPr>
          <w:rFonts w:ascii="Calibri" w:eastAsia="Calibri" w:hAnsi="Calibri" w:cs="Mangal"/>
          <w:lang w:val="es-MX"/>
        </w:rPr>
        <w:t>, la agencia brasileña responsable de la regulación de alimentos y suplementos.</w:t>
      </w:r>
    </w:p>
    <w:p w14:paraId="3569010B" w14:textId="77777777" w:rsidR="00DA72FF" w:rsidRPr="00F64915" w:rsidRDefault="00ED4272" w:rsidP="00A8239B">
      <w:pPr>
        <w:spacing w:before="100" w:beforeAutospacing="1" w:after="100" w:afterAutospacing="1" w:line="240" w:lineRule="auto"/>
        <w:rPr>
          <w:rFonts w:ascii="Calibri" w:hAnsi="Calibri"/>
          <w:lang w:val="es-CR"/>
        </w:rPr>
      </w:pPr>
      <w:bookmarkStart w:id="0" w:name="_Hlk47503105"/>
      <w:r>
        <w:rPr>
          <w:rStyle w:val="acopre"/>
          <w:rFonts w:ascii="Calibri" w:eastAsia="Calibri" w:hAnsi="Calibri" w:cs="Mangal"/>
          <w:lang w:val="es-MX"/>
        </w:rPr>
        <w:t>La afirmación aprobada posteriormente por ANVISA es “</w:t>
      </w:r>
      <w:r>
        <w:rPr>
          <w:rStyle w:val="acopre"/>
          <w:rFonts w:ascii="Calibri" w:eastAsia="Calibri" w:hAnsi="Calibri" w:cs="Mangal"/>
          <w:i/>
          <w:iCs/>
          <w:lang w:val="es-MX"/>
        </w:rPr>
        <w:t>Bacillus coagulans </w:t>
      </w:r>
      <w:r>
        <w:rPr>
          <w:rStyle w:val="acopre"/>
          <w:rFonts w:ascii="Calibri" w:eastAsia="Calibri" w:hAnsi="Calibri" w:cs="Mangal"/>
          <w:lang w:val="es-MX"/>
        </w:rPr>
        <w:t>GBI-30, 6086 puede contribuir a la salud del tracto gastrointestinal”. Está aprobada para su uso en categorías convencionales de alimentos, y bebidas para adultos y niños mayores de tres años. Para poder comercializarse y venderse en Brasil, todos los productos terminados que contengan Ganeden</w:t>
      </w:r>
      <w:r>
        <w:rPr>
          <w:rStyle w:val="acopre"/>
          <w:rFonts w:ascii="Calibri" w:eastAsia="Calibri" w:hAnsi="Calibri" w:cs="Mangal"/>
          <w:b/>
          <w:bCs/>
          <w:lang w:val="es-MX"/>
        </w:rPr>
        <w:t>BC</w:t>
      </w:r>
      <w:r>
        <w:rPr>
          <w:rStyle w:val="acopre"/>
          <w:rFonts w:ascii="Calibri" w:eastAsia="Calibri" w:hAnsi="Calibri" w:cs="Mangal"/>
          <w:b/>
          <w:bCs/>
          <w:vertAlign w:val="superscript"/>
          <w:lang w:val="es-MX"/>
        </w:rPr>
        <w:t>30</w:t>
      </w:r>
      <w:r>
        <w:rPr>
          <w:rStyle w:val="acopre"/>
          <w:rFonts w:ascii="Calibri" w:eastAsia="Calibri" w:hAnsi="Calibri" w:cs="Mangal"/>
          <w:lang w:val="es-MX"/>
        </w:rPr>
        <w:t xml:space="preserve"> deben portar la nueva afirmación, registrar su producto por separado con ANVISA e incluir todas las declaraciones de exención de responsabilidad requeridas en el embalaje.</w:t>
      </w:r>
    </w:p>
    <w:p w14:paraId="1859E647" w14:textId="77777777" w:rsidR="00F64915" w:rsidRPr="00F64915" w:rsidRDefault="00ED4272" w:rsidP="008313B2">
      <w:pPr>
        <w:spacing w:before="100" w:beforeAutospacing="1" w:after="100" w:afterAutospacing="1" w:line="240" w:lineRule="auto"/>
        <w:rPr>
          <w:rFonts w:ascii="Calibri" w:eastAsia="Calibri" w:hAnsi="Calibri" w:cs="Mangal"/>
          <w:lang w:val="es-MX"/>
        </w:rPr>
      </w:pPr>
      <w:r>
        <w:rPr>
          <w:rStyle w:val="acopre"/>
          <w:rFonts w:ascii="Calibri" w:eastAsia="Calibri" w:hAnsi="Calibri" w:cs="Mangal"/>
          <w:lang w:val="es-MX"/>
        </w:rPr>
        <w:t>El estudio de Kerry de 2019 también reveló que los consumidores de Brasil reconocían los beneficios de la marca Ganeden</w:t>
      </w:r>
      <w:r>
        <w:rPr>
          <w:rStyle w:val="acopre"/>
          <w:rFonts w:ascii="Calibri" w:eastAsia="Calibri" w:hAnsi="Calibri" w:cs="Mangal"/>
          <w:b/>
          <w:bCs/>
          <w:lang w:val="es-MX"/>
        </w:rPr>
        <w:t>BC</w:t>
      </w:r>
      <w:r>
        <w:rPr>
          <w:rStyle w:val="acopre"/>
          <w:rFonts w:ascii="Calibri" w:eastAsia="Calibri" w:hAnsi="Calibri" w:cs="Mangal"/>
          <w:b/>
          <w:bCs/>
          <w:vertAlign w:val="superscript"/>
          <w:lang w:val="es-MX"/>
        </w:rPr>
        <w:t xml:space="preserve">30 </w:t>
      </w:r>
      <w:r>
        <w:rPr>
          <w:rStyle w:val="acopre"/>
          <w:rFonts w:ascii="Calibri" w:eastAsia="Calibri" w:hAnsi="Calibri" w:cs="Mangal"/>
          <w:lang w:val="es-MX"/>
        </w:rPr>
        <w:t>y que sus afirmaciones tenían un impacto</w:t>
      </w:r>
      <w:r w:rsidR="00F64915">
        <w:rPr>
          <w:rStyle w:val="acopre"/>
          <w:rFonts w:ascii="Calibri" w:eastAsia="Calibri" w:hAnsi="Calibri" w:cs="Mangal"/>
          <w:lang w:val="es-MX"/>
        </w:rPr>
        <w:t xml:space="preserve"> en el público</w:t>
      </w:r>
      <w:r>
        <w:rPr>
          <w:rStyle w:val="acopre"/>
          <w:rFonts w:ascii="Calibri" w:eastAsia="Calibri" w:hAnsi="Calibri" w:cs="Mangal"/>
          <w:lang w:val="es-MX"/>
        </w:rPr>
        <w:t>. Cuando se presentaron imágenes de productos con el logotipo de Ganeden</w:t>
      </w:r>
      <w:r>
        <w:rPr>
          <w:rStyle w:val="acopre"/>
          <w:rFonts w:ascii="Calibri" w:eastAsia="Calibri" w:hAnsi="Calibri" w:cs="Mangal"/>
          <w:b/>
          <w:bCs/>
          <w:lang w:val="es-MX"/>
        </w:rPr>
        <w:t>BC</w:t>
      </w:r>
      <w:r>
        <w:rPr>
          <w:rStyle w:val="acopre"/>
          <w:rFonts w:ascii="Calibri" w:eastAsia="Calibri" w:hAnsi="Calibri" w:cs="Mangal"/>
          <w:b/>
          <w:bCs/>
          <w:vertAlign w:val="superscript"/>
          <w:lang w:val="es-MX"/>
        </w:rPr>
        <w:t>30</w:t>
      </w:r>
      <w:r>
        <w:rPr>
          <w:rStyle w:val="acopre"/>
          <w:rFonts w:ascii="Calibri" w:eastAsia="Calibri" w:hAnsi="Calibri" w:cs="Mangal"/>
          <w:lang w:val="es-MX"/>
        </w:rPr>
        <w:t>, el 55 % de los consumidores brasileños percibieron correctamente que puede fomentar una buena salud digestiva. Cuando se proporcionó una descripción del producto, el 91 % estuvo de acuerdo en que era “completamente creíble” o “</w:t>
      </w:r>
      <w:r w:rsidR="00F64915">
        <w:rPr>
          <w:rStyle w:val="acopre"/>
          <w:rFonts w:ascii="Calibri" w:eastAsia="Calibri" w:hAnsi="Calibri" w:cs="Mangal"/>
          <w:lang w:val="es-MX"/>
        </w:rPr>
        <w:t>hasta cierto punto</w:t>
      </w:r>
      <w:r>
        <w:rPr>
          <w:rStyle w:val="acopre"/>
          <w:rFonts w:ascii="Calibri" w:eastAsia="Calibri" w:hAnsi="Calibri" w:cs="Mangal"/>
          <w:lang w:val="es-MX"/>
        </w:rPr>
        <w:t xml:space="preserve"> creíble”. Nueve de cada diez personas afirmaron que es probable que compren productos que contienen Ganeden</w:t>
      </w:r>
      <w:r>
        <w:rPr>
          <w:rStyle w:val="acopre"/>
          <w:rFonts w:ascii="Calibri" w:eastAsia="Calibri" w:hAnsi="Calibri" w:cs="Mangal"/>
          <w:b/>
          <w:bCs/>
          <w:lang w:val="es-MX"/>
        </w:rPr>
        <w:t>BC</w:t>
      </w:r>
      <w:r>
        <w:rPr>
          <w:rStyle w:val="acopre"/>
          <w:rFonts w:ascii="Calibri" w:eastAsia="Calibri" w:hAnsi="Calibri" w:cs="Mangal"/>
          <w:b/>
          <w:bCs/>
          <w:vertAlign w:val="superscript"/>
          <w:lang w:val="es-MX"/>
        </w:rPr>
        <w:t>30</w:t>
      </w:r>
      <w:r>
        <w:rPr>
          <w:rStyle w:val="acopre"/>
          <w:rFonts w:ascii="Calibri" w:eastAsia="Calibri" w:hAnsi="Calibri" w:cs="Mangal"/>
          <w:lang w:val="es-MX"/>
        </w:rPr>
        <w:t xml:space="preserve">. </w:t>
      </w:r>
    </w:p>
    <w:p w14:paraId="4BE3FF1E" w14:textId="77777777" w:rsidR="003A219D" w:rsidRPr="00F64915" w:rsidRDefault="00ED4272" w:rsidP="008313B2">
      <w:pPr>
        <w:spacing w:before="100" w:beforeAutospacing="1" w:after="100" w:afterAutospacing="1" w:line="240" w:lineRule="auto"/>
        <w:rPr>
          <w:rFonts w:ascii="Calibri" w:hAnsi="Calibri"/>
          <w:lang w:val="es-CR"/>
        </w:rPr>
      </w:pPr>
      <w:bookmarkStart w:id="1" w:name="_Hlk47503006"/>
      <w:bookmarkEnd w:id="0"/>
      <w:r>
        <w:rPr>
          <w:rFonts w:ascii="Calibri" w:eastAsia="Calibri" w:hAnsi="Calibri" w:cs="Mangal"/>
          <w:lang w:val="es-MX"/>
        </w:rPr>
        <w:t>John Quilter, vicepresidente y director general de Ganeden</w:t>
      </w:r>
      <w:r>
        <w:rPr>
          <w:rFonts w:ascii="Calibri" w:eastAsia="Calibri" w:hAnsi="Calibri" w:cs="Mangal"/>
          <w:b/>
          <w:bCs/>
          <w:lang w:val="es-MX"/>
        </w:rPr>
        <w:t>BC</w:t>
      </w:r>
      <w:r>
        <w:rPr>
          <w:rFonts w:ascii="Calibri" w:eastAsia="Calibri" w:hAnsi="Calibri" w:cs="Mangal"/>
          <w:b/>
          <w:bCs/>
          <w:vertAlign w:val="superscript"/>
          <w:lang w:val="es-MX"/>
        </w:rPr>
        <w:t>30</w:t>
      </w:r>
      <w:r>
        <w:rPr>
          <w:rFonts w:ascii="Calibri" w:eastAsia="Calibri" w:hAnsi="Calibri" w:cs="Mangal"/>
          <w:lang w:val="es-MX"/>
        </w:rPr>
        <w:t>, dijo lo siguiente: “Los consumidores de Brasil están muy interesados en alimentos y bebidas funcionales con beneficios para la salud digestiva, y saben que los probióticos pueden ofrecer esto. Nuestra investigación de consumidores también muestra una alta demanda de productos respaldados por la ciencia, que Ganeden</w:t>
      </w:r>
      <w:r>
        <w:rPr>
          <w:rFonts w:ascii="Calibri" w:eastAsia="Calibri" w:hAnsi="Calibri" w:cs="Mangal"/>
          <w:b/>
          <w:bCs/>
          <w:lang w:val="es-MX"/>
        </w:rPr>
        <w:t>BC</w:t>
      </w:r>
      <w:r>
        <w:rPr>
          <w:rFonts w:ascii="Calibri" w:eastAsia="Calibri" w:hAnsi="Calibri" w:cs="Mangal"/>
          <w:b/>
          <w:bCs/>
          <w:vertAlign w:val="superscript"/>
          <w:lang w:val="es-MX"/>
        </w:rPr>
        <w:t>30</w:t>
      </w:r>
      <w:r>
        <w:rPr>
          <w:rFonts w:ascii="Calibri" w:eastAsia="Calibri" w:hAnsi="Calibri" w:cs="Mangal"/>
          <w:lang w:val="es-MX"/>
        </w:rPr>
        <w:t xml:space="preserve"> puede satisfacer. El volumen y la calidad de las pruebas que respaldan su eficacia nos permitió proporcionar a las autoridades brasileñas un sólido expediente científico, acompañado de estudios clínicos”. </w:t>
      </w:r>
    </w:p>
    <w:p w14:paraId="04BF0D20" w14:textId="77777777" w:rsidR="005D2B52" w:rsidRPr="00F64915" w:rsidRDefault="00ED4272" w:rsidP="008313B2">
      <w:pPr>
        <w:spacing w:before="100" w:beforeAutospacing="1" w:after="100" w:afterAutospacing="1" w:line="240" w:lineRule="auto"/>
        <w:rPr>
          <w:rFonts w:ascii="Calibri" w:hAnsi="Calibri"/>
          <w:lang w:val="es-CR"/>
        </w:rPr>
      </w:pPr>
      <w:r>
        <w:rPr>
          <w:rFonts w:ascii="Calibri" w:eastAsia="Calibri" w:hAnsi="Calibri" w:cs="Mangal"/>
          <w:lang w:val="es-MX"/>
        </w:rPr>
        <w:lastRenderedPageBreak/>
        <w:t>Además, añadió: “Como empresa comprometida con la investigación y el crecimiento global, nos complace que esto haya dado lugar a nuevas oportunidades para los fabricantes. En primer lugar, las marcas pueden ofrecer a sus consumidores un probiótico de alta calidad respaldado científicamente en un mercado importante. En segundo lugar, pueden aprovechar la marca Ganeden</w:t>
      </w:r>
      <w:r>
        <w:rPr>
          <w:rFonts w:ascii="Calibri" w:eastAsia="Calibri" w:hAnsi="Calibri" w:cs="Mangal"/>
          <w:b/>
          <w:bCs/>
          <w:lang w:val="es-MX"/>
        </w:rPr>
        <w:t>BC</w:t>
      </w:r>
      <w:r>
        <w:rPr>
          <w:rFonts w:ascii="Calibri" w:eastAsia="Calibri" w:hAnsi="Calibri" w:cs="Mangal"/>
          <w:b/>
          <w:bCs/>
          <w:vertAlign w:val="superscript"/>
          <w:lang w:val="es-MX"/>
        </w:rPr>
        <w:t>30</w:t>
      </w:r>
      <w:r>
        <w:rPr>
          <w:rFonts w:ascii="Calibri" w:eastAsia="Calibri" w:hAnsi="Calibri" w:cs="Mangal"/>
          <w:lang w:val="es-MX"/>
        </w:rPr>
        <w:t xml:space="preserve"> para diferenciar sus productos y comunicar beneficios reales a los consumidores”. </w:t>
      </w:r>
      <w:bookmarkEnd w:id="1"/>
    </w:p>
    <w:p w14:paraId="30673554" w14:textId="77777777" w:rsidR="009B2AFC" w:rsidRPr="00F64915" w:rsidRDefault="00ED4272" w:rsidP="005718E6">
      <w:pPr>
        <w:spacing w:before="100" w:beforeAutospacing="1" w:after="100" w:afterAutospacing="1" w:line="240" w:lineRule="auto"/>
        <w:rPr>
          <w:rFonts w:ascii="Calibri" w:hAnsi="Calibri"/>
          <w:lang w:val="es-CR"/>
        </w:rPr>
      </w:pPr>
      <w:r>
        <w:rPr>
          <w:rFonts w:ascii="Calibri" w:eastAsia="Calibri" w:hAnsi="Calibri" w:cs="Mangal"/>
          <w:lang w:val="es-MX"/>
        </w:rPr>
        <w:t>Ganeden</w:t>
      </w:r>
      <w:r>
        <w:rPr>
          <w:rFonts w:ascii="Calibri" w:eastAsia="Calibri" w:hAnsi="Calibri" w:cs="Mangal"/>
          <w:b/>
          <w:bCs/>
          <w:lang w:val="es-MX"/>
        </w:rPr>
        <w:t>BC</w:t>
      </w:r>
      <w:r>
        <w:rPr>
          <w:rFonts w:ascii="Calibri" w:eastAsia="Calibri" w:hAnsi="Calibri" w:cs="Mangal"/>
          <w:b/>
          <w:bCs/>
          <w:vertAlign w:val="superscript"/>
          <w:lang w:val="es-MX"/>
        </w:rPr>
        <w:t>30</w:t>
      </w:r>
      <w:r>
        <w:rPr>
          <w:rFonts w:ascii="Calibri" w:eastAsia="Calibri" w:hAnsi="Calibri" w:cs="Mangal"/>
          <w:lang w:val="es-MX"/>
        </w:rPr>
        <w:t xml:space="preserve"> es un probiótico resistente que forma esporas, lo que significa que puede prosperar en condiciones de procesamiento en las que otras cepas no pueden. Puede sobrevivir mejor en la mayoría de las aplicaciones de alimentos y bebidas, incluidos los productos que los consumidores de Brasil están más interesados en comprar. Estos incluyen yogures, jugos, cereales, barras de desayuno y refrigerios con beneficios para la salud digestiva. </w:t>
      </w:r>
    </w:p>
    <w:p w14:paraId="0275B3E8" w14:textId="77777777" w:rsidR="005718E6" w:rsidRPr="00F64915" w:rsidRDefault="00ED4272" w:rsidP="00A8239B">
      <w:pPr>
        <w:spacing w:before="100" w:beforeAutospacing="1" w:after="100" w:afterAutospacing="1" w:line="240" w:lineRule="auto"/>
        <w:rPr>
          <w:rFonts w:ascii="Calibri" w:hAnsi="Calibri"/>
          <w:lang w:val="es-CR"/>
        </w:rPr>
      </w:pPr>
      <w:r>
        <w:rPr>
          <w:rFonts w:ascii="Calibri" w:eastAsia="Calibri" w:hAnsi="Calibri" w:cs="Mangal"/>
          <w:lang w:val="es-MX"/>
        </w:rPr>
        <w:t>* Investigación global de consumidores de Kerry para Wellmune® y Ganeden</w:t>
      </w:r>
      <w:r>
        <w:rPr>
          <w:rFonts w:ascii="Calibri" w:eastAsia="Calibri" w:hAnsi="Calibri" w:cs="Mangal"/>
          <w:b/>
          <w:bCs/>
          <w:lang w:val="es-MX"/>
        </w:rPr>
        <w:t>BC</w:t>
      </w:r>
      <w:r>
        <w:rPr>
          <w:rFonts w:ascii="Calibri" w:eastAsia="Calibri" w:hAnsi="Calibri" w:cs="Mangal"/>
          <w:b/>
          <w:bCs/>
          <w:vertAlign w:val="superscript"/>
          <w:lang w:val="es-MX"/>
        </w:rPr>
        <w:t>30</w:t>
      </w:r>
      <w:r>
        <w:rPr>
          <w:rFonts w:ascii="Calibri" w:eastAsia="Calibri" w:hAnsi="Calibri" w:cs="Mangal"/>
          <w:lang w:val="es-MX"/>
        </w:rPr>
        <w:t>, informe para Brasil, junio de 2019</w:t>
      </w:r>
    </w:p>
    <w:p w14:paraId="78837D55" w14:textId="77777777" w:rsidR="00631835" w:rsidRPr="00F64915" w:rsidRDefault="00ED4272" w:rsidP="00B201EF">
      <w:pPr>
        <w:rPr>
          <w:rFonts w:ascii="Calibri" w:hAnsi="Calibri"/>
          <w:b/>
          <w:bCs/>
          <w:lang w:val="es-CR"/>
        </w:rPr>
      </w:pPr>
      <w:r>
        <w:rPr>
          <w:rFonts w:ascii="Calibri" w:eastAsia="Calibri" w:hAnsi="Calibri" w:cs="Mangal"/>
          <w:b/>
          <w:bCs/>
          <w:lang w:val="es-MX"/>
        </w:rPr>
        <w:t>Información sobre</w:t>
      </w:r>
      <w:r>
        <w:rPr>
          <w:rFonts w:ascii="Calibri" w:eastAsia="Calibri" w:hAnsi="Calibri" w:cs="Mangal"/>
          <w:lang w:val="es-MX"/>
        </w:rPr>
        <w:t xml:space="preserve"> </w:t>
      </w:r>
      <w:r>
        <w:rPr>
          <w:rFonts w:ascii="Calibri" w:eastAsia="Calibri" w:hAnsi="Calibri" w:cs="Mangal"/>
          <w:b/>
          <w:bCs/>
          <w:lang w:val="es-MX"/>
        </w:rPr>
        <w:t>GanedenBC</w:t>
      </w:r>
      <w:r>
        <w:rPr>
          <w:rFonts w:ascii="Calibri" w:eastAsia="Calibri" w:hAnsi="Calibri" w:cs="Mangal"/>
          <w:b/>
          <w:bCs/>
          <w:vertAlign w:val="superscript"/>
          <w:lang w:val="es-MX"/>
        </w:rPr>
        <w:t>30</w:t>
      </w:r>
      <w:r>
        <w:rPr>
          <w:rFonts w:ascii="Calibri" w:eastAsia="Calibri" w:hAnsi="Calibri" w:cs="Mangal"/>
          <w:b/>
          <w:bCs/>
          <w:lang w:val="es-MX"/>
        </w:rPr>
        <w:t>®</w:t>
      </w:r>
      <w:r>
        <w:rPr>
          <w:rFonts w:ascii="Calibri" w:eastAsia="Calibri" w:hAnsi="Calibri" w:cs="Mangal"/>
          <w:lang w:val="es-MX"/>
        </w:rPr>
        <w:t> </w:t>
      </w:r>
      <w:r>
        <w:rPr>
          <w:rFonts w:ascii="Calibri" w:eastAsia="Calibri" w:hAnsi="Calibri" w:cs="Mangal"/>
          <w:b/>
          <w:bCs/>
          <w:lang w:val="es-MX"/>
        </w:rPr>
        <w:tab/>
      </w:r>
    </w:p>
    <w:p w14:paraId="676C0C9B" w14:textId="77777777" w:rsidR="004B634F" w:rsidRPr="00F64915" w:rsidRDefault="00ED4272" w:rsidP="004B634F">
      <w:pPr>
        <w:rPr>
          <w:rFonts w:ascii="Calibri" w:hAnsi="Calibri"/>
          <w:lang w:val="es-CR"/>
        </w:rPr>
      </w:pPr>
      <w:r>
        <w:rPr>
          <w:rFonts w:ascii="Calibri" w:eastAsia="Calibri" w:hAnsi="Calibri" w:cs="Mangal"/>
          <w:lang w:val="es-MX"/>
        </w:rPr>
        <w:t>El Ganeden</w:t>
      </w:r>
      <w:r>
        <w:rPr>
          <w:rFonts w:ascii="Calibri" w:eastAsia="Calibri" w:hAnsi="Calibri" w:cs="Mangal"/>
          <w:b/>
          <w:bCs/>
          <w:lang w:val="es-MX"/>
        </w:rPr>
        <w:t>BC</w:t>
      </w:r>
      <w:r>
        <w:rPr>
          <w:rFonts w:ascii="Calibri" w:eastAsia="Calibri" w:hAnsi="Calibri" w:cs="Mangal"/>
          <w:b/>
          <w:bCs/>
          <w:vertAlign w:val="superscript"/>
          <w:lang w:val="es-MX"/>
        </w:rPr>
        <w:t>30</w:t>
      </w:r>
      <w:r>
        <w:rPr>
          <w:rFonts w:ascii="Calibri" w:eastAsia="Calibri" w:hAnsi="Calibri" w:cs="Mangal"/>
          <w:lang w:val="es-MX"/>
        </w:rPr>
        <w:t>® (</w:t>
      </w:r>
      <w:r>
        <w:rPr>
          <w:rFonts w:ascii="Calibri" w:eastAsia="Calibri" w:hAnsi="Calibri" w:cs="Mangal"/>
          <w:i/>
          <w:iCs/>
          <w:lang w:val="es-MX"/>
        </w:rPr>
        <w:t>Bacillus coagulans</w:t>
      </w:r>
      <w:r>
        <w:rPr>
          <w:rFonts w:ascii="Calibri" w:eastAsia="Calibri" w:hAnsi="Calibri" w:cs="Mangal"/>
          <w:lang w:val="es-MX"/>
        </w:rPr>
        <w:t>GBI-30, 6086) es un ingrediente probiótico patentado, generalmente reconocido como seguro (GRAS, por sus siglas en inglés) por la FDA, que se encuentra en más de 1000 productos de alimentación y bebidas líderes en todo el mundo. Se trata de una cepa probiótica estable y respaldada científicamente que ha demostrado proporcionar beneficios para la salud digestiva, la salud inmunitaria y la utilización de proteínas. A diferencia de la mayoría de las demás cepas probióticas, Ganeden</w:t>
      </w:r>
      <w:r>
        <w:rPr>
          <w:rFonts w:ascii="Calibri" w:eastAsia="Calibri" w:hAnsi="Calibri" w:cs="Mangal"/>
          <w:b/>
          <w:bCs/>
          <w:lang w:val="es-MX"/>
        </w:rPr>
        <w:t>BC</w:t>
      </w:r>
      <w:r>
        <w:rPr>
          <w:rFonts w:ascii="Calibri" w:eastAsia="Calibri" w:hAnsi="Calibri" w:cs="Mangal"/>
          <w:b/>
          <w:bCs/>
          <w:vertAlign w:val="superscript"/>
          <w:lang w:val="es-MX"/>
        </w:rPr>
        <w:t>30</w:t>
      </w:r>
      <w:r>
        <w:rPr>
          <w:rFonts w:ascii="Calibri" w:eastAsia="Calibri" w:hAnsi="Calibri" w:cs="Mangal"/>
          <w:lang w:val="es-MX"/>
        </w:rPr>
        <w:t xml:space="preserve"> es un formador de esporas, lo que lo hace altamente estable y permite que permanezca viable durante la mayoría de los procesos de fabricación y el pH bajo del ácido estomacal. Ya que ha sido ampliamente investigado y es fácil de formular en alimentos funcionales, bebidas y productos para animales de compañía, el Ganeden</w:t>
      </w:r>
      <w:r>
        <w:rPr>
          <w:rFonts w:ascii="Calibri" w:eastAsia="Calibri" w:hAnsi="Calibri" w:cs="Mangal"/>
          <w:b/>
          <w:bCs/>
          <w:lang w:val="es-MX"/>
        </w:rPr>
        <w:t>BC</w:t>
      </w:r>
      <w:r>
        <w:rPr>
          <w:rFonts w:ascii="Calibri" w:eastAsia="Calibri" w:hAnsi="Calibri" w:cs="Mangal"/>
          <w:b/>
          <w:bCs/>
          <w:vertAlign w:val="superscript"/>
          <w:lang w:val="es-MX"/>
        </w:rPr>
        <w:t xml:space="preserve">30 </w:t>
      </w:r>
      <w:r>
        <w:rPr>
          <w:rFonts w:ascii="Calibri" w:eastAsia="Calibri" w:hAnsi="Calibri" w:cs="Mangal"/>
          <w:lang w:val="es-MX"/>
        </w:rPr>
        <w:t>está respaldado por más de 25 artículos publicados. Como parte del portafolio de productos ProActive Health de Kerry, el Ganeden</w:t>
      </w:r>
      <w:r>
        <w:rPr>
          <w:rFonts w:ascii="Calibri" w:eastAsia="Calibri" w:hAnsi="Calibri" w:cs="Mangal"/>
          <w:b/>
          <w:bCs/>
          <w:lang w:val="es-MX"/>
        </w:rPr>
        <w:t>BC</w:t>
      </w:r>
      <w:r>
        <w:rPr>
          <w:rFonts w:ascii="Calibri" w:eastAsia="Calibri" w:hAnsi="Calibri" w:cs="Mangal"/>
          <w:b/>
          <w:bCs/>
          <w:vertAlign w:val="superscript"/>
          <w:lang w:val="es-MX"/>
        </w:rPr>
        <w:t>30</w:t>
      </w:r>
      <w:r>
        <w:rPr>
          <w:rFonts w:ascii="Calibri" w:eastAsia="Calibri" w:hAnsi="Calibri" w:cs="Mangal"/>
          <w:lang w:val="es-MX"/>
        </w:rPr>
        <w:t xml:space="preserve"> es natural y está disponible en versiones veganas, de proyectos non-GMO (no transgénicos), conformes con las normas orgánicas y sin alérgenos.</w:t>
      </w:r>
    </w:p>
    <w:p w14:paraId="372C8846" w14:textId="77777777" w:rsidR="00631835" w:rsidRPr="00F64915" w:rsidRDefault="00ED4272" w:rsidP="00631835">
      <w:pPr>
        <w:rPr>
          <w:rStyle w:val="Hyperlink"/>
          <w:rFonts w:ascii="Calibri" w:hAnsi="Calibri"/>
          <w:lang w:val="es-CR"/>
        </w:rPr>
      </w:pPr>
      <w:r>
        <w:rPr>
          <w:rFonts w:ascii="Calibri" w:eastAsia="Calibri" w:hAnsi="Calibri" w:cs="Mangal"/>
          <w:lang w:val="es-MX"/>
        </w:rPr>
        <w:t xml:space="preserve">Para obtener más información, visite: </w:t>
      </w:r>
      <w:hyperlink r:id="rId9" w:history="1">
        <w:r>
          <w:rPr>
            <w:rFonts w:ascii="Calibri" w:eastAsia="Calibri" w:hAnsi="Calibri" w:cs="Mangal"/>
            <w:color w:val="007FBA"/>
            <w:lang w:val="es-MX"/>
          </w:rPr>
          <w:t>BC30Probiotic.com</w:t>
        </w:r>
      </w:hyperlink>
    </w:p>
    <w:p w14:paraId="4274C9D5" w14:textId="77777777" w:rsidR="00AC2E70" w:rsidRPr="00F64915" w:rsidRDefault="00AC2E70" w:rsidP="00631835">
      <w:pPr>
        <w:rPr>
          <w:rStyle w:val="Hyperlink"/>
          <w:rFonts w:ascii="Calibri" w:hAnsi="Calibri"/>
          <w:lang w:val="es-CR"/>
        </w:rPr>
      </w:pPr>
    </w:p>
    <w:p w14:paraId="156FD982" w14:textId="77777777" w:rsidR="00AC2E70" w:rsidRPr="00F64915" w:rsidRDefault="00AC2E70" w:rsidP="00631835">
      <w:pPr>
        <w:rPr>
          <w:rFonts w:ascii="Calibri" w:hAnsi="Calibri"/>
          <w:lang w:val="es-CR"/>
        </w:rPr>
      </w:pPr>
    </w:p>
    <w:p w14:paraId="7EF7FDA1" w14:textId="77777777" w:rsidR="00631835" w:rsidRPr="00F64915" w:rsidRDefault="00ED4272" w:rsidP="00631835">
      <w:pPr>
        <w:autoSpaceDE w:val="0"/>
        <w:autoSpaceDN w:val="0"/>
        <w:spacing w:after="0" w:line="240" w:lineRule="auto"/>
        <w:rPr>
          <w:rFonts w:ascii="Calibri" w:hAnsi="Calibri"/>
          <w:lang w:val="es-CR"/>
        </w:rPr>
      </w:pPr>
      <w:r>
        <w:rPr>
          <w:rFonts w:ascii="Calibri" w:eastAsia="Calibri" w:hAnsi="Calibri" w:cs="Calibri"/>
          <w:b/>
          <w:bCs/>
          <w:color w:val="000000"/>
          <w:lang w:val="es-MX"/>
        </w:rPr>
        <w:t>Contacto:</w:t>
      </w:r>
      <w:r>
        <w:rPr>
          <w:rFonts w:ascii="Calibri" w:eastAsia="Calibri" w:hAnsi="Calibri" w:cs="Calibri"/>
          <w:color w:val="4C5A52"/>
          <w:shd w:val="clear" w:color="auto" w:fill="FFFFFF"/>
          <w:lang w:val="es-MX"/>
        </w:rPr>
        <w:t> </w:t>
      </w:r>
      <w:r>
        <w:rPr>
          <w:rFonts w:ascii="Calibri" w:eastAsia="Calibri" w:hAnsi="Calibri" w:cs="Calibri"/>
          <w:color w:val="4C5A52"/>
          <w:lang w:val="es-MX"/>
        </w:rPr>
        <w:br/>
      </w:r>
      <w:r>
        <w:rPr>
          <w:rFonts w:ascii="Calibri" w:eastAsia="Calibri" w:hAnsi="Calibri" w:cs="Mangal"/>
          <w:lang w:val="es-MX"/>
        </w:rPr>
        <w:t>Molly Fitzgerald</w:t>
      </w:r>
    </w:p>
    <w:p w14:paraId="0ACA0C8B" w14:textId="77777777" w:rsidR="00631835" w:rsidRPr="00F64915" w:rsidRDefault="00ED4272" w:rsidP="00631835">
      <w:pPr>
        <w:autoSpaceDE w:val="0"/>
        <w:autoSpaceDN w:val="0"/>
        <w:spacing w:after="0"/>
        <w:rPr>
          <w:rFonts w:ascii="Calibri" w:hAnsi="Calibri"/>
          <w:lang w:val="es-CR"/>
        </w:rPr>
      </w:pPr>
      <w:r>
        <w:rPr>
          <w:rFonts w:ascii="Calibri" w:eastAsia="Calibri" w:hAnsi="Calibri" w:cs="Mangal"/>
          <w:lang w:val="es-MX"/>
        </w:rPr>
        <w:t>Comunicación de mercadotecnia digital – Kerry</w:t>
      </w:r>
    </w:p>
    <w:p w14:paraId="044FD823" w14:textId="77777777" w:rsidR="00631835" w:rsidRPr="00041E2F" w:rsidRDefault="00ED4272" w:rsidP="00631835">
      <w:pPr>
        <w:autoSpaceDE w:val="0"/>
        <w:autoSpaceDN w:val="0"/>
        <w:spacing w:after="0"/>
        <w:rPr>
          <w:rFonts w:ascii="Calibri" w:hAnsi="Calibri"/>
          <w:lang w:val="en-US"/>
        </w:rPr>
      </w:pPr>
      <w:r>
        <w:rPr>
          <w:rFonts w:ascii="Calibri" w:eastAsia="Calibri" w:hAnsi="Calibri" w:cs="Mangal"/>
          <w:lang w:val="es-MX"/>
        </w:rPr>
        <w:t xml:space="preserve"> +1 (612) 309-6792</w:t>
      </w:r>
    </w:p>
    <w:p w14:paraId="06236D91" w14:textId="77777777" w:rsidR="00631835" w:rsidRPr="00041E2F" w:rsidRDefault="00ED4272" w:rsidP="00631835">
      <w:pPr>
        <w:autoSpaceDE w:val="0"/>
        <w:autoSpaceDN w:val="0"/>
        <w:spacing w:after="0"/>
        <w:rPr>
          <w:rFonts w:ascii="Calibri" w:hAnsi="Calibri"/>
          <w:lang w:val="en-US"/>
        </w:rPr>
      </w:pPr>
      <w:r>
        <w:rPr>
          <w:rFonts w:ascii="Calibri" w:eastAsia="Calibri" w:hAnsi="Calibri" w:cs="Mangal"/>
          <w:lang w:val="es-MX"/>
        </w:rPr>
        <w:t xml:space="preserve"> </w:t>
      </w:r>
      <w:hyperlink r:id="rId10" w:history="1">
        <w:r>
          <w:rPr>
            <w:rFonts w:ascii="Calibri" w:eastAsia="Calibri" w:hAnsi="Calibri" w:cs="Mangal"/>
            <w:lang w:val="es-MX"/>
          </w:rPr>
          <w:t>molly.fitzgerald@kerry.com</w:t>
        </w:r>
      </w:hyperlink>
    </w:p>
    <w:p w14:paraId="182F05A8" w14:textId="77777777" w:rsidR="004F1838" w:rsidRPr="00041E2F" w:rsidRDefault="004F1838">
      <w:pPr>
        <w:rPr>
          <w:rFonts w:ascii="Calibri" w:hAnsi="Calibri"/>
          <w:lang w:val="en-US"/>
        </w:rPr>
      </w:pPr>
    </w:p>
    <w:sectPr w:rsidR="004F1838" w:rsidRPr="00041E2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BD223" w14:textId="77777777" w:rsidR="00482BC5" w:rsidRDefault="00482BC5">
      <w:pPr>
        <w:spacing w:after="0" w:line="240" w:lineRule="auto"/>
      </w:pPr>
      <w:r>
        <w:separator/>
      </w:r>
    </w:p>
  </w:endnote>
  <w:endnote w:type="continuationSeparator" w:id="0">
    <w:p w14:paraId="607EAAFB" w14:textId="77777777" w:rsidR="00482BC5" w:rsidRDefault="00482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89992" w14:textId="77777777" w:rsidR="00191004" w:rsidRDefault="00191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3F4EA" w14:textId="77777777" w:rsidR="00C95DD7" w:rsidRDefault="00ED4272">
    <w:pPr>
      <w:pStyle w:val="Footer"/>
    </w:pPr>
    <w:r>
      <w:rPr>
        <w:noProof/>
      </w:rPr>
      <mc:AlternateContent>
        <mc:Choice Requires="wps">
          <w:drawing>
            <wp:anchor distT="0" distB="0" distL="114300" distR="114300" simplePos="0" relativeHeight="251659264" behindDoc="0" locked="0" layoutInCell="0" allowOverlap="1" wp14:anchorId="69BFE933" wp14:editId="0262411E">
              <wp:simplePos x="0" y="0"/>
              <wp:positionH relativeFrom="page">
                <wp:posOffset>0</wp:posOffset>
              </wp:positionH>
              <wp:positionV relativeFrom="page">
                <wp:posOffset>10175240</wp:posOffset>
              </wp:positionV>
              <wp:extent cx="7560310" cy="325755"/>
              <wp:effectExtent l="0" t="0" r="0" b="0"/>
              <wp:wrapNone/>
              <wp:docPr id="2" name="MSIPCMef974f61a8bb85260d16125d" descr="{&quot;HashCode&quot;:19010132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257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68CB7B" w14:textId="77777777" w:rsidR="00C95DD7" w:rsidRPr="00C95DD7" w:rsidRDefault="00C95DD7" w:rsidP="00C95DD7">
                          <w:pPr>
                            <w:spacing w:after="0"/>
                            <w:rPr>
                              <w:rFonts w:ascii="Calibri" w:hAnsi="Calibri" w:cs="Calibri"/>
                              <w:color w:val="000000"/>
                              <w:sz w:val="20"/>
                            </w:rPr>
                          </w:pPr>
                        </w:p>
                        <w:p w14:paraId="6552EE46" w14:textId="77777777" w:rsidR="00C95DD7" w:rsidRPr="00C95DD7" w:rsidRDefault="00ED4272" w:rsidP="00C95DD7">
                          <w:pPr>
                            <w:spacing w:after="0"/>
                            <w:rPr>
                              <w:rFonts w:ascii="Calibri" w:hAnsi="Calibri" w:cs="Calibri"/>
                              <w:color w:val="000000"/>
                              <w:sz w:val="20"/>
                            </w:rPr>
                          </w:pPr>
                          <w:r>
                            <w:rPr>
                              <w:rFonts w:ascii="Calibri" w:eastAsia="Calibri" w:hAnsi="Calibri" w:cs="Calibri"/>
                              <w:color w:val="000000"/>
                              <w:sz w:val="20"/>
                              <w:szCs w:val="20"/>
                              <w:lang w:val="es-MX"/>
                            </w:rPr>
                            <w:t>Clasificado como asunto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ef974f61a8bb85260d16125d" o:spid="_x0000_s1026" type="#_x0000_t202" alt="{&quot;HashCode&quot;:1901013235,&quot;Height&quot;:841.0,&quot;Width&quot;:595.0,&quot;Placement&quot;:&quot;Footer&quot;,&quot;Index&quot;:&quot;Primary&quot;,&quot;Section&quot;:1,&quot;Top&quot;:0.0,&quot;Left&quot;:0.0}" style="position:absolute;margin-left:0;margin-top:801.2pt;width:595.3pt;height:25.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" o:allowincell="f" filled="f" stroked="f" strokeweight=".5pt">
              <v:textbox inset="20pt,0,,0">
                <w:txbxContent>
                  <w:p w14:paraId="3BE5C3E2" w14:textId="77777777" w:rsidR="00C95DD7" w:rsidRPr="00C95DD7" w:rsidRDefault="00C95DD7" w:rsidP="00C95DD7">
                    <w:pPr>
                      <w:spacing w:after="0"/>
                      <w:rPr>
                        <w:rFonts w:ascii="Calibri" w:hAnsi="Calibri" w:cs="Calibri"/>
                        <w:color w:val="000000"/>
                        <w:sz w:val="20"/>
                      </w:rPr>
                    </w:pPr>
                  </w:p>
                  <w:p w14:paraId="78988BDE" w14:textId="77777777" w:rsidR="00C95DD7" w:rsidRPr="00C95DD7" w:rsidRDefault="00ED4272" w:rsidP="00C95DD7">
                    <w:pPr>
                      <w:spacing w:after="0"/>
                      <w:rPr>
                        <w:rFonts w:ascii="Calibri" w:hAnsi="Calibri" w:cs="Calibri"/>
                        <w:color w:val="000000"/>
                        <w:sz w:val="20"/>
                      </w:rPr>
                    </w:pPr>
                    <w:r>
                      <w:rPr>
                        <w:rFonts w:ascii="Calibri" w:eastAsia="Calibri" w:hAnsi="Calibri" w:cs="Calibri"/>
                        <w:color w:val="000000"/>
                        <w:sz w:val="20"/>
                        <w:szCs w:val="20"/>
                        <w:lang w:val="es-MX"/>
                      </w:rPr>
                      <w:t>Clasificado como asunto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04CE1" w14:textId="77777777" w:rsidR="00191004" w:rsidRDefault="00191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3B21B" w14:textId="77777777" w:rsidR="00482BC5" w:rsidRDefault="00482BC5">
      <w:pPr>
        <w:spacing w:after="0" w:line="240" w:lineRule="auto"/>
      </w:pPr>
      <w:r>
        <w:separator/>
      </w:r>
    </w:p>
  </w:footnote>
  <w:footnote w:type="continuationSeparator" w:id="0">
    <w:p w14:paraId="595A69E4" w14:textId="77777777" w:rsidR="00482BC5" w:rsidRDefault="00482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AF6B7" w14:textId="77777777" w:rsidR="00191004" w:rsidRDefault="00191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6CB82" w14:textId="77777777" w:rsidR="00191004" w:rsidRDefault="001910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BBEC2" w14:textId="77777777" w:rsidR="00191004" w:rsidRDefault="00191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D10719"/>
    <w:multiLevelType w:val="multilevel"/>
    <w:tmpl w:val="EABC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B528CC"/>
    <w:multiLevelType w:val="hybridMultilevel"/>
    <w:tmpl w:val="B2922852"/>
    <w:lvl w:ilvl="0" w:tplc="BED8F58A">
      <w:start w:val="1"/>
      <w:numFmt w:val="bullet"/>
      <w:lvlText w:val=""/>
      <w:lvlJc w:val="left"/>
      <w:pPr>
        <w:ind w:left="720" w:hanging="360"/>
      </w:pPr>
      <w:rPr>
        <w:rFonts w:ascii="Symbol" w:hAnsi="Symbol" w:hint="default"/>
      </w:rPr>
    </w:lvl>
    <w:lvl w:ilvl="1" w:tplc="596C1AF8">
      <w:start w:val="1"/>
      <w:numFmt w:val="bullet"/>
      <w:lvlText w:val="o"/>
      <w:lvlJc w:val="left"/>
      <w:pPr>
        <w:ind w:left="1440" w:hanging="360"/>
      </w:pPr>
      <w:rPr>
        <w:rFonts w:ascii="Courier New" w:hAnsi="Courier New" w:cs="Courier New" w:hint="default"/>
      </w:rPr>
    </w:lvl>
    <w:lvl w:ilvl="2" w:tplc="1076F82C">
      <w:start w:val="1"/>
      <w:numFmt w:val="bullet"/>
      <w:lvlText w:val=""/>
      <w:lvlJc w:val="left"/>
      <w:pPr>
        <w:ind w:left="2160" w:hanging="360"/>
      </w:pPr>
      <w:rPr>
        <w:rFonts w:ascii="Wingdings" w:hAnsi="Wingdings" w:hint="default"/>
      </w:rPr>
    </w:lvl>
    <w:lvl w:ilvl="3" w:tplc="3620F050">
      <w:start w:val="1"/>
      <w:numFmt w:val="bullet"/>
      <w:lvlText w:val=""/>
      <w:lvlJc w:val="left"/>
      <w:pPr>
        <w:ind w:left="2880" w:hanging="360"/>
      </w:pPr>
      <w:rPr>
        <w:rFonts w:ascii="Symbol" w:hAnsi="Symbol" w:hint="default"/>
      </w:rPr>
    </w:lvl>
    <w:lvl w:ilvl="4" w:tplc="F14EFB7E">
      <w:start w:val="1"/>
      <w:numFmt w:val="bullet"/>
      <w:lvlText w:val="o"/>
      <w:lvlJc w:val="left"/>
      <w:pPr>
        <w:ind w:left="3600" w:hanging="360"/>
      </w:pPr>
      <w:rPr>
        <w:rFonts w:ascii="Courier New" w:hAnsi="Courier New" w:cs="Courier New" w:hint="default"/>
      </w:rPr>
    </w:lvl>
    <w:lvl w:ilvl="5" w:tplc="B3BA8C5E">
      <w:start w:val="1"/>
      <w:numFmt w:val="bullet"/>
      <w:lvlText w:val=""/>
      <w:lvlJc w:val="left"/>
      <w:pPr>
        <w:ind w:left="4320" w:hanging="360"/>
      </w:pPr>
      <w:rPr>
        <w:rFonts w:ascii="Wingdings" w:hAnsi="Wingdings" w:hint="default"/>
      </w:rPr>
    </w:lvl>
    <w:lvl w:ilvl="6" w:tplc="6636B502">
      <w:start w:val="1"/>
      <w:numFmt w:val="bullet"/>
      <w:lvlText w:val=""/>
      <w:lvlJc w:val="left"/>
      <w:pPr>
        <w:ind w:left="5040" w:hanging="360"/>
      </w:pPr>
      <w:rPr>
        <w:rFonts w:ascii="Symbol" w:hAnsi="Symbol" w:hint="default"/>
      </w:rPr>
    </w:lvl>
    <w:lvl w:ilvl="7" w:tplc="85D4971E">
      <w:start w:val="1"/>
      <w:numFmt w:val="bullet"/>
      <w:lvlText w:val="o"/>
      <w:lvlJc w:val="left"/>
      <w:pPr>
        <w:ind w:left="5760" w:hanging="360"/>
      </w:pPr>
      <w:rPr>
        <w:rFonts w:ascii="Courier New" w:hAnsi="Courier New" w:cs="Courier New" w:hint="default"/>
      </w:rPr>
    </w:lvl>
    <w:lvl w:ilvl="8" w:tplc="BD6EAA86">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6C"/>
    <w:rsid w:val="00010458"/>
    <w:rsid w:val="0002798C"/>
    <w:rsid w:val="00041E2F"/>
    <w:rsid w:val="00042CEE"/>
    <w:rsid w:val="00044149"/>
    <w:rsid w:val="0007178B"/>
    <w:rsid w:val="000B5E6C"/>
    <w:rsid w:val="000E5523"/>
    <w:rsid w:val="000F3492"/>
    <w:rsid w:val="00104B2D"/>
    <w:rsid w:val="00120DBB"/>
    <w:rsid w:val="00123B03"/>
    <w:rsid w:val="00135919"/>
    <w:rsid w:val="00143499"/>
    <w:rsid w:val="001545AA"/>
    <w:rsid w:val="00160027"/>
    <w:rsid w:val="0016608A"/>
    <w:rsid w:val="00166FF2"/>
    <w:rsid w:val="00167A84"/>
    <w:rsid w:val="00167D6B"/>
    <w:rsid w:val="00191004"/>
    <w:rsid w:val="00195E43"/>
    <w:rsid w:val="001A0F34"/>
    <w:rsid w:val="001A3A1B"/>
    <w:rsid w:val="001A54F0"/>
    <w:rsid w:val="001A5EFB"/>
    <w:rsid w:val="001B704B"/>
    <w:rsid w:val="001C0D44"/>
    <w:rsid w:val="001F0116"/>
    <w:rsid w:val="001F1ADF"/>
    <w:rsid w:val="001F5F4A"/>
    <w:rsid w:val="00201251"/>
    <w:rsid w:val="00224462"/>
    <w:rsid w:val="002265A5"/>
    <w:rsid w:val="00231217"/>
    <w:rsid w:val="00237EF9"/>
    <w:rsid w:val="002441D0"/>
    <w:rsid w:val="0025107A"/>
    <w:rsid w:val="00251564"/>
    <w:rsid w:val="0027678D"/>
    <w:rsid w:val="00283372"/>
    <w:rsid w:val="0029556E"/>
    <w:rsid w:val="002A1A80"/>
    <w:rsid w:val="002B09D5"/>
    <w:rsid w:val="002B491B"/>
    <w:rsid w:val="002C1158"/>
    <w:rsid w:val="002D1DD4"/>
    <w:rsid w:val="002D59DF"/>
    <w:rsid w:val="002F5CAB"/>
    <w:rsid w:val="002F676B"/>
    <w:rsid w:val="002F7F6F"/>
    <w:rsid w:val="003040EE"/>
    <w:rsid w:val="003060C4"/>
    <w:rsid w:val="0031045C"/>
    <w:rsid w:val="00327BAC"/>
    <w:rsid w:val="00354ABB"/>
    <w:rsid w:val="00362323"/>
    <w:rsid w:val="00367257"/>
    <w:rsid w:val="00380D9C"/>
    <w:rsid w:val="00397124"/>
    <w:rsid w:val="003A219D"/>
    <w:rsid w:val="003A7C30"/>
    <w:rsid w:val="003C5348"/>
    <w:rsid w:val="00403E63"/>
    <w:rsid w:val="004058FE"/>
    <w:rsid w:val="004177C0"/>
    <w:rsid w:val="00422C25"/>
    <w:rsid w:val="004438F1"/>
    <w:rsid w:val="0044404C"/>
    <w:rsid w:val="00450B63"/>
    <w:rsid w:val="00467E8B"/>
    <w:rsid w:val="00482BC5"/>
    <w:rsid w:val="00493F11"/>
    <w:rsid w:val="004A0DA2"/>
    <w:rsid w:val="004B0AEC"/>
    <w:rsid w:val="004B1186"/>
    <w:rsid w:val="004B123B"/>
    <w:rsid w:val="004B634F"/>
    <w:rsid w:val="004C3DB8"/>
    <w:rsid w:val="004C6BE7"/>
    <w:rsid w:val="004E7617"/>
    <w:rsid w:val="004F1838"/>
    <w:rsid w:val="004F232D"/>
    <w:rsid w:val="004F4935"/>
    <w:rsid w:val="004F56CF"/>
    <w:rsid w:val="00510694"/>
    <w:rsid w:val="00515CB3"/>
    <w:rsid w:val="00533D19"/>
    <w:rsid w:val="00535A99"/>
    <w:rsid w:val="00550078"/>
    <w:rsid w:val="00564D12"/>
    <w:rsid w:val="00566C78"/>
    <w:rsid w:val="005718E6"/>
    <w:rsid w:val="00587F98"/>
    <w:rsid w:val="005A12AA"/>
    <w:rsid w:val="005A577F"/>
    <w:rsid w:val="005C2F50"/>
    <w:rsid w:val="005D2B52"/>
    <w:rsid w:val="005F3FC7"/>
    <w:rsid w:val="00631835"/>
    <w:rsid w:val="00634E5C"/>
    <w:rsid w:val="00634E71"/>
    <w:rsid w:val="00637260"/>
    <w:rsid w:val="00646798"/>
    <w:rsid w:val="00650580"/>
    <w:rsid w:val="006606F1"/>
    <w:rsid w:val="00660EBD"/>
    <w:rsid w:val="00661FBF"/>
    <w:rsid w:val="006855C8"/>
    <w:rsid w:val="006A06A6"/>
    <w:rsid w:val="006B5179"/>
    <w:rsid w:val="006C0224"/>
    <w:rsid w:val="006D4C60"/>
    <w:rsid w:val="006F7914"/>
    <w:rsid w:val="0070286F"/>
    <w:rsid w:val="007250FC"/>
    <w:rsid w:val="00736C2B"/>
    <w:rsid w:val="0074109E"/>
    <w:rsid w:val="00760726"/>
    <w:rsid w:val="00766680"/>
    <w:rsid w:val="007667DA"/>
    <w:rsid w:val="00795F94"/>
    <w:rsid w:val="007B0589"/>
    <w:rsid w:val="007B0F4A"/>
    <w:rsid w:val="007B135D"/>
    <w:rsid w:val="007E22F4"/>
    <w:rsid w:val="007E4F2E"/>
    <w:rsid w:val="007F3175"/>
    <w:rsid w:val="007F7B37"/>
    <w:rsid w:val="00821717"/>
    <w:rsid w:val="008313B2"/>
    <w:rsid w:val="008315F7"/>
    <w:rsid w:val="00836AF7"/>
    <w:rsid w:val="00837DC3"/>
    <w:rsid w:val="00842789"/>
    <w:rsid w:val="00856753"/>
    <w:rsid w:val="00856845"/>
    <w:rsid w:val="008676A4"/>
    <w:rsid w:val="00870BA8"/>
    <w:rsid w:val="00886421"/>
    <w:rsid w:val="008879EF"/>
    <w:rsid w:val="00891FDD"/>
    <w:rsid w:val="008A7387"/>
    <w:rsid w:val="008B17A6"/>
    <w:rsid w:val="008B2635"/>
    <w:rsid w:val="008D09D1"/>
    <w:rsid w:val="008D2CEB"/>
    <w:rsid w:val="00912A0E"/>
    <w:rsid w:val="00923421"/>
    <w:rsid w:val="009431A8"/>
    <w:rsid w:val="009454C4"/>
    <w:rsid w:val="00961FDF"/>
    <w:rsid w:val="009648CC"/>
    <w:rsid w:val="009737A7"/>
    <w:rsid w:val="009979DC"/>
    <w:rsid w:val="009A723F"/>
    <w:rsid w:val="009B2AFC"/>
    <w:rsid w:val="009B5530"/>
    <w:rsid w:val="009B75B6"/>
    <w:rsid w:val="009C7165"/>
    <w:rsid w:val="009D2BA5"/>
    <w:rsid w:val="00A20BCA"/>
    <w:rsid w:val="00A46F76"/>
    <w:rsid w:val="00A51FD0"/>
    <w:rsid w:val="00A62941"/>
    <w:rsid w:val="00A6777A"/>
    <w:rsid w:val="00A82335"/>
    <w:rsid w:val="00A8239B"/>
    <w:rsid w:val="00A8385A"/>
    <w:rsid w:val="00A84452"/>
    <w:rsid w:val="00AB6DF4"/>
    <w:rsid w:val="00AC2E70"/>
    <w:rsid w:val="00AD5DAA"/>
    <w:rsid w:val="00B05264"/>
    <w:rsid w:val="00B0561E"/>
    <w:rsid w:val="00B05ABE"/>
    <w:rsid w:val="00B201EF"/>
    <w:rsid w:val="00B22113"/>
    <w:rsid w:val="00B45A28"/>
    <w:rsid w:val="00B52AA0"/>
    <w:rsid w:val="00B561EC"/>
    <w:rsid w:val="00B62E13"/>
    <w:rsid w:val="00B7166D"/>
    <w:rsid w:val="00B728AD"/>
    <w:rsid w:val="00B76E74"/>
    <w:rsid w:val="00B77D18"/>
    <w:rsid w:val="00BA440A"/>
    <w:rsid w:val="00BA4A03"/>
    <w:rsid w:val="00BC67D2"/>
    <w:rsid w:val="00BD2290"/>
    <w:rsid w:val="00BD2D4B"/>
    <w:rsid w:val="00BE3135"/>
    <w:rsid w:val="00BE5E7C"/>
    <w:rsid w:val="00BE7DEF"/>
    <w:rsid w:val="00C24029"/>
    <w:rsid w:val="00C3779E"/>
    <w:rsid w:val="00C44200"/>
    <w:rsid w:val="00C45016"/>
    <w:rsid w:val="00C62265"/>
    <w:rsid w:val="00C702FD"/>
    <w:rsid w:val="00C8556A"/>
    <w:rsid w:val="00C92DA9"/>
    <w:rsid w:val="00C95DD7"/>
    <w:rsid w:val="00CB7F24"/>
    <w:rsid w:val="00CC141E"/>
    <w:rsid w:val="00CF3803"/>
    <w:rsid w:val="00D00F5D"/>
    <w:rsid w:val="00D32165"/>
    <w:rsid w:val="00D47E8A"/>
    <w:rsid w:val="00D552AD"/>
    <w:rsid w:val="00D575BE"/>
    <w:rsid w:val="00D60E4F"/>
    <w:rsid w:val="00D64464"/>
    <w:rsid w:val="00D65AB8"/>
    <w:rsid w:val="00D7064E"/>
    <w:rsid w:val="00D85487"/>
    <w:rsid w:val="00D96F99"/>
    <w:rsid w:val="00DA72FF"/>
    <w:rsid w:val="00DB7E4A"/>
    <w:rsid w:val="00DE15C1"/>
    <w:rsid w:val="00DE2F4C"/>
    <w:rsid w:val="00DE4020"/>
    <w:rsid w:val="00E00AF6"/>
    <w:rsid w:val="00E05F08"/>
    <w:rsid w:val="00E10555"/>
    <w:rsid w:val="00E1541F"/>
    <w:rsid w:val="00E92B41"/>
    <w:rsid w:val="00E96AE2"/>
    <w:rsid w:val="00EA7864"/>
    <w:rsid w:val="00EC53C9"/>
    <w:rsid w:val="00ED4272"/>
    <w:rsid w:val="00EE4E62"/>
    <w:rsid w:val="00F02638"/>
    <w:rsid w:val="00F052AD"/>
    <w:rsid w:val="00F43DE7"/>
    <w:rsid w:val="00F4794B"/>
    <w:rsid w:val="00F556B9"/>
    <w:rsid w:val="00F560CD"/>
    <w:rsid w:val="00F62E97"/>
    <w:rsid w:val="00F64915"/>
    <w:rsid w:val="00F64D90"/>
    <w:rsid w:val="00F8256B"/>
    <w:rsid w:val="00F92F82"/>
    <w:rsid w:val="00FA1F68"/>
    <w:rsid w:val="00FA2A34"/>
    <w:rsid w:val="00FB17EA"/>
    <w:rsid w:val="00FB7FA1"/>
    <w:rsid w:val="00FC4999"/>
    <w:rsid w:val="00FD1ACC"/>
    <w:rsid w:val="00FD61EC"/>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07FF"/>
  <w15:chartTrackingRefBased/>
  <w15:docId w15:val="{D7DD15F1-D469-4EF3-9AB8-7E334FD8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01E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5E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B5E6C"/>
    <w:rPr>
      <w:b/>
      <w:bCs/>
    </w:rPr>
  </w:style>
  <w:style w:type="paragraph" w:styleId="BalloonText">
    <w:name w:val="Balloon Text"/>
    <w:basedOn w:val="Normal"/>
    <w:link w:val="BalloonTextChar"/>
    <w:uiPriority w:val="99"/>
    <w:semiHidden/>
    <w:unhideWhenUsed/>
    <w:rsid w:val="007E4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F2E"/>
    <w:rPr>
      <w:rFonts w:ascii="Segoe UI" w:hAnsi="Segoe UI" w:cs="Segoe UI"/>
      <w:sz w:val="18"/>
      <w:szCs w:val="18"/>
    </w:rPr>
  </w:style>
  <w:style w:type="paragraph" w:styleId="FootnoteText">
    <w:name w:val="footnote text"/>
    <w:basedOn w:val="Normal"/>
    <w:link w:val="FootnoteTextChar"/>
    <w:uiPriority w:val="99"/>
    <w:semiHidden/>
    <w:unhideWhenUsed/>
    <w:rsid w:val="00BA44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440A"/>
    <w:rPr>
      <w:sz w:val="20"/>
      <w:szCs w:val="20"/>
    </w:rPr>
  </w:style>
  <w:style w:type="character" w:styleId="FootnoteReference">
    <w:name w:val="footnote reference"/>
    <w:basedOn w:val="DefaultParagraphFont"/>
    <w:uiPriority w:val="99"/>
    <w:semiHidden/>
    <w:unhideWhenUsed/>
    <w:rsid w:val="00BA440A"/>
    <w:rPr>
      <w:vertAlign w:val="superscript"/>
    </w:rPr>
  </w:style>
  <w:style w:type="character" w:styleId="Hyperlink">
    <w:name w:val="Hyperlink"/>
    <w:basedOn w:val="DefaultParagraphFont"/>
    <w:uiPriority w:val="99"/>
    <w:unhideWhenUsed/>
    <w:rsid w:val="004F1838"/>
    <w:rPr>
      <w:strike w:val="0"/>
      <w:dstrike w:val="0"/>
      <w:color w:val="007FBA"/>
      <w:u w:val="none"/>
      <w:effect w:val="none"/>
    </w:rPr>
  </w:style>
  <w:style w:type="character" w:customStyle="1" w:styleId="apple-converted-space">
    <w:name w:val="apple-converted-space"/>
    <w:basedOn w:val="DefaultParagraphFont"/>
    <w:rsid w:val="00631835"/>
  </w:style>
  <w:style w:type="character" w:styleId="CommentReference">
    <w:name w:val="annotation reference"/>
    <w:basedOn w:val="DefaultParagraphFont"/>
    <w:uiPriority w:val="99"/>
    <w:semiHidden/>
    <w:unhideWhenUsed/>
    <w:rsid w:val="00795F94"/>
    <w:rPr>
      <w:sz w:val="16"/>
      <w:szCs w:val="16"/>
    </w:rPr>
  </w:style>
  <w:style w:type="paragraph" w:styleId="CommentText">
    <w:name w:val="annotation text"/>
    <w:basedOn w:val="Normal"/>
    <w:link w:val="CommentTextChar"/>
    <w:uiPriority w:val="99"/>
    <w:semiHidden/>
    <w:unhideWhenUsed/>
    <w:rsid w:val="00795F94"/>
    <w:pPr>
      <w:spacing w:line="240" w:lineRule="auto"/>
    </w:pPr>
    <w:rPr>
      <w:sz w:val="20"/>
      <w:szCs w:val="20"/>
    </w:rPr>
  </w:style>
  <w:style w:type="character" w:customStyle="1" w:styleId="CommentTextChar">
    <w:name w:val="Comment Text Char"/>
    <w:basedOn w:val="DefaultParagraphFont"/>
    <w:link w:val="CommentText"/>
    <w:uiPriority w:val="99"/>
    <w:semiHidden/>
    <w:rsid w:val="00795F94"/>
    <w:rPr>
      <w:sz w:val="20"/>
      <w:szCs w:val="20"/>
    </w:rPr>
  </w:style>
  <w:style w:type="paragraph" w:styleId="CommentSubject">
    <w:name w:val="annotation subject"/>
    <w:basedOn w:val="CommentText"/>
    <w:next w:val="CommentText"/>
    <w:link w:val="CommentSubjectChar"/>
    <w:uiPriority w:val="99"/>
    <w:semiHidden/>
    <w:unhideWhenUsed/>
    <w:rsid w:val="00795F94"/>
    <w:rPr>
      <w:b/>
      <w:bCs/>
    </w:rPr>
  </w:style>
  <w:style w:type="character" w:customStyle="1" w:styleId="CommentSubjectChar">
    <w:name w:val="Comment Subject Char"/>
    <w:basedOn w:val="CommentTextChar"/>
    <w:link w:val="CommentSubject"/>
    <w:uiPriority w:val="99"/>
    <w:semiHidden/>
    <w:rsid w:val="00795F94"/>
    <w:rPr>
      <w:b/>
      <w:bCs/>
      <w:sz w:val="20"/>
      <w:szCs w:val="20"/>
    </w:rPr>
  </w:style>
  <w:style w:type="character" w:customStyle="1" w:styleId="UnresolvedMention1">
    <w:name w:val="Unresolved Mention1"/>
    <w:basedOn w:val="DefaultParagraphFont"/>
    <w:uiPriority w:val="99"/>
    <w:semiHidden/>
    <w:unhideWhenUsed/>
    <w:rsid w:val="00224462"/>
    <w:rPr>
      <w:color w:val="605E5C"/>
      <w:shd w:val="clear" w:color="auto" w:fill="E1DFDD"/>
    </w:rPr>
  </w:style>
  <w:style w:type="character" w:customStyle="1" w:styleId="Heading1Char">
    <w:name w:val="Heading 1 Char"/>
    <w:basedOn w:val="DefaultParagraphFont"/>
    <w:link w:val="Heading1"/>
    <w:uiPriority w:val="9"/>
    <w:rsid w:val="00B201EF"/>
    <w:rPr>
      <w:rFonts w:ascii="Times New Roman" w:eastAsia="Times New Roman" w:hAnsi="Times New Roman" w:cs="Times New Roman"/>
      <w:b/>
      <w:bCs/>
      <w:kern w:val="36"/>
      <w:sz w:val="48"/>
      <w:szCs w:val="48"/>
      <w:lang w:val="en-US"/>
    </w:rPr>
  </w:style>
  <w:style w:type="paragraph" w:styleId="ListParagraph">
    <w:name w:val="List Paragraph"/>
    <w:basedOn w:val="Normal"/>
    <w:uiPriority w:val="34"/>
    <w:qFormat/>
    <w:rsid w:val="00BA4A03"/>
    <w:pPr>
      <w:spacing w:line="256" w:lineRule="auto"/>
      <w:ind w:left="720"/>
      <w:contextualSpacing/>
    </w:pPr>
    <w:rPr>
      <w:lang w:val="en-US"/>
    </w:rPr>
  </w:style>
  <w:style w:type="paragraph" w:styleId="Header">
    <w:name w:val="header"/>
    <w:basedOn w:val="Normal"/>
    <w:link w:val="HeaderChar"/>
    <w:uiPriority w:val="99"/>
    <w:unhideWhenUsed/>
    <w:rsid w:val="00C95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DD7"/>
  </w:style>
  <w:style w:type="paragraph" w:styleId="Footer">
    <w:name w:val="footer"/>
    <w:basedOn w:val="Normal"/>
    <w:link w:val="FooterChar"/>
    <w:uiPriority w:val="99"/>
    <w:unhideWhenUsed/>
    <w:rsid w:val="00C95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DD7"/>
  </w:style>
  <w:style w:type="character" w:customStyle="1" w:styleId="acopre">
    <w:name w:val="acopre"/>
    <w:basedOn w:val="DefaultParagraphFont"/>
    <w:rsid w:val="00912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olly.fitzgerald@kerry.com" TargetMode="External"/><Relationship Id="rId4" Type="http://schemas.openxmlformats.org/officeDocument/2006/relationships/settings" Target="settings.xml"/><Relationship Id="rId9" Type="http://schemas.openxmlformats.org/officeDocument/2006/relationships/hyperlink" Target="http://bc30probioti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CAD0-0D51-4AC5-A696-92E97A2C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Harman</dc:creator>
  <cp:lastModifiedBy>Steve Harman</cp:lastModifiedBy>
  <cp:revision>2</cp:revision>
  <cp:lastPrinted>2020-10-26T12:11:00Z</cp:lastPrinted>
  <dcterms:created xsi:type="dcterms:W3CDTF">2020-11-10T14:45:00Z</dcterms:created>
  <dcterms:modified xsi:type="dcterms:W3CDTF">2020-11-10T14:45:00Z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7babe7-c6ca-4507-b349-2d307b29434a_Application">
    <vt:lpwstr>Microsoft Azure Information Protection</vt:lpwstr>
  </property>
  <property fmtid="{D5CDD505-2E9C-101B-9397-08002B2CF9AE}" pid="3" name="MSIP_Label_a07babe7-c6ca-4507-b349-2d307b29434a_Enabled">
    <vt:lpwstr>True</vt:lpwstr>
  </property>
  <property fmtid="{D5CDD505-2E9C-101B-9397-08002B2CF9AE}" pid="4" name="MSIP_Label_a07babe7-c6ca-4507-b349-2d307b29434a_Extended_MSFT_Method">
    <vt:lpwstr>Manual</vt:lpwstr>
  </property>
  <property fmtid="{D5CDD505-2E9C-101B-9397-08002B2CF9AE}" pid="5" name="MSIP_Label_a07babe7-c6ca-4507-b349-2d307b29434a_Name">
    <vt:lpwstr>General Business</vt:lpwstr>
  </property>
  <property fmtid="{D5CDD505-2E9C-101B-9397-08002B2CF9AE}" pid="6" name="MSIP_Label_a07babe7-c6ca-4507-b349-2d307b29434a_Owner">
    <vt:lpwstr>melissa.clarke@kerry.com</vt:lpwstr>
  </property>
  <property fmtid="{D5CDD505-2E9C-101B-9397-08002B2CF9AE}" pid="7" name="MSIP_Label_a07babe7-c6ca-4507-b349-2d307b29434a_SetDate">
    <vt:lpwstr>2020-08-04T21:02:06.9549603Z</vt:lpwstr>
  </property>
  <property fmtid="{D5CDD505-2E9C-101B-9397-08002B2CF9AE}" pid="8" name="MSIP_Label_a07babe7-c6ca-4507-b349-2d307b29434a_SiteId">
    <vt:lpwstr>524eb200-d02f-44fd-af53-c96d477d1930</vt:lpwstr>
  </property>
  <property fmtid="{D5CDD505-2E9C-101B-9397-08002B2CF9AE}" pid="9" name="Sensitivity">
    <vt:lpwstr>General Business</vt:lpwstr>
  </property>
</Properties>
</file>